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C62C" w14:textId="24EB475D"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w:t>
      </w:r>
      <w:r w:rsidR="002D71B7">
        <w:rPr>
          <w:rFonts w:eastAsia="Calibri" w:cstheme="minorHAnsi"/>
        </w:rPr>
        <w:t>19</w:t>
      </w:r>
      <w:r w:rsidRPr="00353B2D">
        <w:rPr>
          <w:rFonts w:eastAsia="Calibri" w:cstheme="minorHAnsi"/>
        </w:rPr>
        <w:t>/</w:t>
      </w:r>
      <w:r w:rsidR="002D71B7">
        <w:rPr>
          <w:rFonts w:eastAsia="Calibri" w:cstheme="minorHAnsi"/>
        </w:rPr>
        <w:t>20</w:t>
      </w:r>
      <w:r w:rsidRPr="00353B2D">
        <w:rPr>
          <w:rFonts w:eastAsia="Calibri" w:cstheme="minorHAnsi"/>
        </w:rPr>
        <w:t xml:space="preserve">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7" w:history="1">
        <w:r w:rsidR="001207C5" w:rsidRPr="008D0F27">
          <w:rPr>
            <w:rStyle w:val="Hyperlink"/>
            <w:rFonts w:eastAsia="Calibri" w:cstheme="minorHAnsi"/>
          </w:rPr>
          <w:t>NCETM website</w:t>
        </w:r>
      </w:hyperlink>
      <w:r w:rsidR="001207C5">
        <w:rPr>
          <w:rFonts w:eastAsia="Calibri" w:cstheme="minorHAnsi"/>
        </w:rPr>
        <w:t>.</w:t>
      </w: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lastRenderedPageBreak/>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4BD4637A"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the H</w:t>
      </w:r>
      <w:r w:rsidRPr="00CE3C0A">
        <w:rPr>
          <w:rFonts w:eastAsia="Calibri" w:cstheme="minorHAnsi"/>
        </w:rPr>
        <w:t xml:space="preserve">ub’s preferred date </w:t>
      </w:r>
    </w:p>
    <w:p w14:paraId="6029E253" w14:textId="77777777" w:rsidR="00F537BD" w:rsidRDefault="00F537BD" w:rsidP="00CE3C0A">
      <w:pPr>
        <w:tabs>
          <w:tab w:val="left" w:pos="3138"/>
        </w:tabs>
        <w:spacing w:line="276" w:lineRule="auto"/>
        <w:ind w:left="-40"/>
        <w:rPr>
          <w:rFonts w:eastAsia="Calibri" w:cstheme="minorHAnsi"/>
        </w:rPr>
      </w:pPr>
    </w:p>
    <w:p w14:paraId="5D84D960" w14:textId="69078298"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2D2641D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 xml:space="preserve">(Please complete and return to </w:t>
      </w:r>
      <w:hyperlink r:id="rId8" w:history="1">
        <w:r w:rsidR="00087EE7" w:rsidRPr="00A91046">
          <w:rPr>
            <w:rStyle w:val="Hyperlink"/>
            <w:i/>
            <w:iCs/>
            <w:lang w:val="en-GB"/>
          </w:rPr>
          <w:t>admin@cambridgemathshub.org</w:t>
        </w:r>
      </w:hyperlink>
      <w:r w:rsidR="00087EE7">
        <w:rPr>
          <w:i/>
          <w:iCs/>
          <w:lang w:val="en-GB"/>
        </w:rPr>
        <w:t xml:space="preserve"> </w:t>
      </w:r>
      <w:r w:rsidR="007D4D38">
        <w:rPr>
          <w:i/>
          <w:iCs/>
          <w:lang w:val="en-GB"/>
        </w:rPr>
        <w:t xml:space="preserve">by </w:t>
      </w:r>
      <w:r w:rsidR="007D4D38" w:rsidRPr="007D4D38">
        <w:rPr>
          <w:b/>
          <w:i/>
          <w:iCs/>
          <w:lang w:val="en-GB"/>
        </w:rPr>
        <w:t>3rd June 2019</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bookmarkStart w:id="1" w:name="_GoBack"/>
      <w:bookmarkEnd w:id="1"/>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GLOW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 xml:space="preserve">North West One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 xml:space="preserve">Great North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 xml:space="preserve">Cambridge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 xml:space="preserve">London South East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10"/>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B739" w14:textId="77777777" w:rsidR="00F6724E" w:rsidRDefault="00F6724E" w:rsidP="009F36C1">
      <w:r>
        <w:separator/>
      </w:r>
    </w:p>
  </w:endnote>
  <w:endnote w:type="continuationSeparator" w:id="0">
    <w:p w14:paraId="44F1EFCB" w14:textId="77777777" w:rsidR="00F6724E" w:rsidRDefault="00F6724E" w:rsidP="009F36C1">
      <w:r>
        <w:continuationSeparator/>
      </w:r>
    </w:p>
  </w:endnote>
  <w:endnote w:type="continuationNotice" w:id="1">
    <w:p w14:paraId="7508751A" w14:textId="77777777" w:rsidR="00F6724E" w:rsidRDefault="00F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7ED1" w14:textId="77777777" w:rsidR="00F6724E" w:rsidRDefault="00F6724E" w:rsidP="009F36C1">
      <w:r>
        <w:separator/>
      </w:r>
    </w:p>
  </w:footnote>
  <w:footnote w:type="continuationSeparator" w:id="0">
    <w:p w14:paraId="068BB280" w14:textId="77777777" w:rsidR="00F6724E" w:rsidRDefault="00F6724E" w:rsidP="009F36C1">
      <w:r>
        <w:continuationSeparator/>
      </w:r>
    </w:p>
  </w:footnote>
  <w:footnote w:type="continuationNotice" w:id="1">
    <w:p w14:paraId="4299A646" w14:textId="77777777" w:rsidR="00F6724E" w:rsidRDefault="00F67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32E"/>
    <w:rsid w:val="0002366B"/>
    <w:rsid w:val="00033DB0"/>
    <w:rsid w:val="00036971"/>
    <w:rsid w:val="0004291D"/>
    <w:rsid w:val="00043E7F"/>
    <w:rsid w:val="00055843"/>
    <w:rsid w:val="000606B8"/>
    <w:rsid w:val="0007028B"/>
    <w:rsid w:val="000859D4"/>
    <w:rsid w:val="00086033"/>
    <w:rsid w:val="00087EE7"/>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A6BC8"/>
    <w:rsid w:val="007D161A"/>
    <w:rsid w:val="007D4D38"/>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A00FBA"/>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1625"/>
    <w:rsid w:val="00C540C3"/>
    <w:rsid w:val="00C5472A"/>
    <w:rsid w:val="00C60DB0"/>
    <w:rsid w:val="00C7548D"/>
    <w:rsid w:val="00C765D1"/>
    <w:rsid w:val="00C76CE1"/>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81F0B"/>
    <w:rsid w:val="00E94672"/>
    <w:rsid w:val="00E9475C"/>
    <w:rsid w:val="00EA4801"/>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mbridgemathshub.org" TargetMode="External"/><Relationship Id="rId3" Type="http://schemas.openxmlformats.org/officeDocument/2006/relationships/settings" Target="settings.xml"/><Relationship Id="rId7" Type="http://schemas.openxmlformats.org/officeDocument/2006/relationships/hyperlink" Target="https://www.ncetm.org.uk/resources/52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1F28DE9E</Template>
  <TotalTime>4</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Geetha Dorairaj</cp:lastModifiedBy>
  <cp:revision>4</cp:revision>
  <dcterms:created xsi:type="dcterms:W3CDTF">2019-03-11T11:33:00Z</dcterms:created>
  <dcterms:modified xsi:type="dcterms:W3CDTF">2019-03-11T14:43:00Z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