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74FC" w14:textId="16B29061"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Mathematics Teaching for Mastery </w:t>
      </w:r>
      <w:r w:rsidR="005405AF">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5F6DD265" w14:textId="25230F46"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DC7EB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DC7EB1">
        <w:rPr>
          <w:rFonts w:asciiTheme="minorHAnsi" w:hAnsiTheme="minorHAnsi" w:cstheme="minorHAnsi"/>
          <w:b/>
          <w:sz w:val="28"/>
          <w:szCs w:val="28"/>
        </w:rPr>
        <w:t>1</w:t>
      </w:r>
      <w:r w:rsidRPr="005966A0">
        <w:rPr>
          <w:rFonts w:asciiTheme="minorHAnsi" w:hAnsiTheme="minorHAnsi" w:cstheme="minorHAnsi"/>
          <w:b/>
          <w:sz w:val="28"/>
          <w:szCs w:val="28"/>
        </w:rPr>
        <w:t>)</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0093E3AC"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 xml:space="preserve">Each Work Group will be led by one of the Maths Hub’s </w:t>
      </w:r>
      <w:r w:rsidR="005405AF">
        <w:rPr>
          <w:rFonts w:asciiTheme="minorHAnsi" w:hAnsiTheme="minorHAnsi" w:cstheme="minorHAnsi"/>
          <w:sz w:val="24"/>
          <w:szCs w:val="24"/>
        </w:rPr>
        <w:t xml:space="preserve">Primary </w:t>
      </w:r>
      <w:r w:rsidRPr="005966A0">
        <w:rPr>
          <w:rFonts w:asciiTheme="minorHAnsi" w:hAnsiTheme="minorHAnsi" w:cstheme="minorHAnsi"/>
          <w:sz w:val="24"/>
          <w:szCs w:val="24"/>
        </w:rPr>
        <w:t>Mastery Specialists and involve six or seven primary schools. During the year, they will work closely together to introduce and develop approaches to teaching for mastery. The Work Group activity will include:</w:t>
      </w:r>
    </w:p>
    <w:p w14:paraId="7732EC02" w14:textId="54AC29A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B15B16">
        <w:rPr>
          <w:rFonts w:asciiTheme="minorHAnsi" w:hAnsiTheme="minorHAnsi" w:cstheme="minorHAnsi"/>
          <w:lang w:val="en-GB"/>
        </w:rPr>
        <w:t xml:space="preserve">. One of these teachers should be the maths lead.  Ideally the second teacher would be from another primary phase.  </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537A1D8A" w:rsid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w:t>
      </w:r>
      <w:r w:rsidR="001D615B">
        <w:rPr>
          <w:rFonts w:asciiTheme="minorHAnsi" w:hAnsiTheme="minorHAnsi" w:cstheme="minorHAnsi"/>
          <w:lang w:val="en-GB"/>
        </w:rPr>
        <w:t>this Developing Mastery training</w:t>
      </w:r>
      <w:r w:rsidRPr="005966A0">
        <w:rPr>
          <w:rFonts w:asciiTheme="minorHAnsi" w:hAnsiTheme="minorHAnsi" w:cstheme="minorHAnsi"/>
          <w:lang w:val="en-GB"/>
        </w:rPr>
        <w:t xml:space="preserve"> the schools are expected to continue </w:t>
      </w:r>
      <w:r w:rsidR="00FB5ADE">
        <w:rPr>
          <w:rFonts w:asciiTheme="minorHAnsi" w:hAnsiTheme="minorHAnsi" w:cstheme="minorHAnsi"/>
          <w:lang w:val="en-GB"/>
        </w:rPr>
        <w:t xml:space="preserve">with Embedding Mastery and Sustaining Mastery for the following two years.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6D8BB8A8"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r w:rsidR="00DC7EB1">
        <w:rPr>
          <w:rFonts w:asciiTheme="minorHAnsi" w:hAnsiTheme="minorHAnsi" w:cstheme="minorHAnsi"/>
        </w:rPr>
        <w:t xml:space="preserve"> a match funded grant of up to £2000</w:t>
      </w:r>
      <w:r w:rsidR="003C7690" w:rsidRPr="001D7041">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66621270" w14:textId="3C54846C"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The </w:t>
      </w:r>
      <w:r w:rsidR="00B15B16">
        <w:rPr>
          <w:rFonts w:asciiTheme="minorHAnsi" w:hAnsiTheme="minorHAnsi" w:cstheme="minorHAnsi"/>
          <w:sz w:val="24"/>
          <w:szCs w:val="24"/>
        </w:rPr>
        <w:t xml:space="preserve">Developing Mastery </w:t>
      </w:r>
      <w:r w:rsidRPr="005966A0">
        <w:rPr>
          <w:rFonts w:asciiTheme="minorHAnsi" w:hAnsiTheme="minorHAnsi" w:cstheme="minorHAnsi"/>
          <w:sz w:val="24"/>
          <w:szCs w:val="24"/>
        </w:rPr>
        <w:t>Work Groups are intended for schools that are already committed to using teaching for mastery approaches for primary mathematics. Schools should also have the capacity for engaging in significant development work during 20</w:t>
      </w:r>
      <w:r w:rsidR="00A8641D">
        <w:rPr>
          <w:rFonts w:asciiTheme="minorHAnsi" w:hAnsiTheme="minorHAnsi" w:cstheme="minorHAnsi"/>
          <w:sz w:val="24"/>
          <w:szCs w:val="24"/>
        </w:rPr>
        <w:t>20</w:t>
      </w:r>
      <w:r w:rsidR="008552FD">
        <w:rPr>
          <w:rFonts w:asciiTheme="minorHAnsi" w:hAnsiTheme="minorHAnsi" w:cstheme="minorHAnsi"/>
          <w:sz w:val="24"/>
          <w:szCs w:val="24"/>
        </w:rPr>
        <w:t>-</w:t>
      </w:r>
      <w:r w:rsidRPr="005966A0">
        <w:rPr>
          <w:rFonts w:asciiTheme="minorHAnsi" w:hAnsiTheme="minorHAnsi" w:cstheme="minorHAnsi"/>
          <w:sz w:val="24"/>
          <w:szCs w:val="24"/>
        </w:rPr>
        <w:t>21. Schools</w:t>
      </w:r>
      <w:r w:rsidR="00B62AFF">
        <w:rPr>
          <w:rFonts w:asciiTheme="minorHAnsi" w:hAnsiTheme="minorHAnsi" w:cstheme="minorHAnsi"/>
          <w:sz w:val="24"/>
          <w:szCs w:val="24"/>
        </w:rPr>
        <w:t xml:space="preserve"> that are new to</w:t>
      </w:r>
      <w:r w:rsidR="0002683C">
        <w:rPr>
          <w:rFonts w:asciiTheme="minorHAnsi" w:hAnsiTheme="minorHAnsi" w:cstheme="minorHAnsi"/>
          <w:sz w:val="24"/>
          <w:szCs w:val="24"/>
        </w:rPr>
        <w:t xml:space="preserve"> </w:t>
      </w:r>
      <w:r w:rsidR="00B62AFF">
        <w:rPr>
          <w:rFonts w:asciiTheme="minorHAnsi" w:hAnsiTheme="minorHAnsi" w:cstheme="minorHAnsi"/>
          <w:sz w:val="24"/>
          <w:szCs w:val="24"/>
        </w:rPr>
        <w:t xml:space="preserve">or just beginning to adopt a teaching for mastery approach should apply for Mastery Readiness.  See details on our website </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lastRenderedPageBreak/>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021CB8D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Schools interested in applying to be part of a </w:t>
      </w:r>
      <w:r w:rsidR="00832272">
        <w:rPr>
          <w:rFonts w:asciiTheme="minorHAnsi" w:hAnsiTheme="minorHAnsi" w:cstheme="minorHAnsi"/>
          <w:sz w:val="24"/>
          <w:szCs w:val="24"/>
        </w:rPr>
        <w:t xml:space="preserve">Developing Mastery </w:t>
      </w:r>
      <w:r w:rsidRPr="005966A0">
        <w:rPr>
          <w:rFonts w:asciiTheme="minorHAnsi" w:hAnsiTheme="minorHAnsi" w:cstheme="minorHAnsi"/>
          <w:sz w:val="24"/>
          <w:szCs w:val="24"/>
        </w:rPr>
        <w:t>Work Group in 20</w:t>
      </w:r>
      <w:r w:rsidR="00A8641D">
        <w:rPr>
          <w:rFonts w:asciiTheme="minorHAnsi" w:hAnsiTheme="minorHAnsi" w:cstheme="minorHAnsi"/>
          <w:sz w:val="24"/>
          <w:szCs w:val="24"/>
        </w:rPr>
        <w:t>20</w:t>
      </w:r>
      <w:r w:rsidR="00DA34C8">
        <w:rPr>
          <w:rFonts w:asciiTheme="minorHAnsi" w:hAnsiTheme="minorHAnsi" w:cstheme="minorHAnsi"/>
          <w:sz w:val="24"/>
          <w:szCs w:val="24"/>
        </w:rPr>
        <w:t>/2</w:t>
      </w:r>
      <w:r w:rsidR="00A8641D">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23092E">
        <w:rPr>
          <w:rFonts w:asciiTheme="minorHAnsi" w:hAnsiTheme="minorHAnsi" w:cstheme="minorHAnsi"/>
          <w:sz w:val="24"/>
          <w:szCs w:val="24"/>
        </w:rPr>
        <w:t>admin@cambridgemathshub.org</w:t>
      </w:r>
      <w:r w:rsidRPr="0002683C">
        <w:rPr>
          <w:rFonts w:asciiTheme="minorHAnsi" w:hAnsiTheme="minorHAnsi" w:cstheme="minorHAnsi"/>
          <w:color w:val="FF0000"/>
          <w:sz w:val="24"/>
          <w:szCs w:val="24"/>
        </w:rPr>
        <w:t xml:space="preserve"> by </w:t>
      </w:r>
      <w:r w:rsidR="008108C7" w:rsidRPr="0002683C">
        <w:rPr>
          <w:rFonts w:asciiTheme="minorHAnsi" w:hAnsiTheme="minorHAnsi" w:cstheme="minorHAnsi"/>
          <w:color w:val="FF0000"/>
          <w:sz w:val="24"/>
          <w:szCs w:val="24"/>
        </w:rPr>
        <w:t>Monday</w:t>
      </w:r>
      <w:r w:rsidRPr="0002683C">
        <w:rPr>
          <w:rFonts w:asciiTheme="minorHAnsi" w:hAnsiTheme="minorHAnsi" w:cstheme="minorHAnsi"/>
          <w:color w:val="FF0000"/>
          <w:sz w:val="24"/>
          <w:szCs w:val="24"/>
        </w:rPr>
        <w:t xml:space="preserve"> </w:t>
      </w:r>
      <w:r w:rsidR="00B31E67" w:rsidRPr="0002683C">
        <w:rPr>
          <w:rFonts w:asciiTheme="minorHAnsi" w:hAnsiTheme="minorHAnsi" w:cstheme="minorHAnsi"/>
          <w:color w:val="FF0000"/>
          <w:sz w:val="24"/>
          <w:szCs w:val="24"/>
        </w:rPr>
        <w:t>6 July</w:t>
      </w:r>
      <w:r w:rsidR="00B31E67">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r w:rsidR="00B31E67">
        <w:rPr>
          <w:rFonts w:asciiTheme="minorHAnsi" w:hAnsiTheme="minorHAnsi" w:cstheme="minorHAnsi"/>
          <w:sz w:val="24"/>
          <w:szCs w:val="24"/>
        </w:rPr>
        <w:t xml:space="preserve"> We have already reached our 2023 </w:t>
      </w:r>
      <w:r w:rsidR="000D4A5F">
        <w:rPr>
          <w:rFonts w:asciiTheme="minorHAnsi" w:hAnsiTheme="minorHAnsi" w:cstheme="minorHAnsi"/>
          <w:sz w:val="24"/>
          <w:szCs w:val="24"/>
        </w:rPr>
        <w:t xml:space="preserve">DfE </w:t>
      </w:r>
      <w:r w:rsidR="00B31E67">
        <w:rPr>
          <w:rFonts w:asciiTheme="minorHAnsi" w:hAnsiTheme="minorHAnsi" w:cstheme="minorHAnsi"/>
          <w:sz w:val="24"/>
          <w:szCs w:val="24"/>
        </w:rPr>
        <w:t xml:space="preserve">goal to </w:t>
      </w:r>
      <w:r w:rsidR="00AE7933">
        <w:rPr>
          <w:rFonts w:asciiTheme="minorHAnsi" w:hAnsiTheme="minorHAnsi" w:cstheme="minorHAnsi"/>
          <w:sz w:val="24"/>
          <w:szCs w:val="24"/>
        </w:rPr>
        <w:t>engage more than 60% of our region. We are therefore only able to offer four of these Work Groups this year</w:t>
      </w:r>
      <w:r w:rsidR="00A3018A">
        <w:rPr>
          <w:rFonts w:asciiTheme="minorHAnsi" w:hAnsiTheme="minorHAnsi" w:cstheme="minorHAnsi"/>
          <w:sz w:val="24"/>
          <w:szCs w:val="24"/>
        </w:rPr>
        <w:t xml:space="preserve"> Peterborough (full), South Cambs (</w:t>
      </w:r>
      <w:r w:rsidR="00E32BB3">
        <w:rPr>
          <w:rFonts w:asciiTheme="minorHAnsi" w:hAnsiTheme="minorHAnsi" w:cstheme="minorHAnsi"/>
          <w:sz w:val="24"/>
          <w:szCs w:val="24"/>
        </w:rPr>
        <w:t xml:space="preserve">full), </w:t>
      </w:r>
      <w:r w:rsidR="00B96997">
        <w:rPr>
          <w:rFonts w:asciiTheme="minorHAnsi" w:hAnsiTheme="minorHAnsi" w:cstheme="minorHAnsi"/>
          <w:sz w:val="24"/>
          <w:szCs w:val="24"/>
        </w:rPr>
        <w:t xml:space="preserve">Kings Lynn and West Norfolk (places available) and one more location to be determined by applications. </w:t>
      </w:r>
      <w:r w:rsidR="000D4A5F">
        <w:rPr>
          <w:rFonts w:asciiTheme="minorHAnsi" w:hAnsiTheme="minorHAnsi" w:cstheme="minorHAnsi"/>
          <w:sz w:val="24"/>
          <w:szCs w:val="24"/>
        </w:rPr>
        <w:t xml:space="preserve">We may well not receive further funding for </w:t>
      </w:r>
      <w:r w:rsidR="00832272">
        <w:rPr>
          <w:rFonts w:asciiTheme="minorHAnsi" w:hAnsiTheme="minorHAnsi" w:cstheme="minorHAnsi"/>
          <w:sz w:val="24"/>
          <w:szCs w:val="24"/>
        </w:rPr>
        <w:t xml:space="preserve">new Developing </w:t>
      </w:r>
      <w:proofErr w:type="gramStart"/>
      <w:r w:rsidR="00832272">
        <w:rPr>
          <w:rFonts w:asciiTheme="minorHAnsi" w:hAnsiTheme="minorHAnsi" w:cstheme="minorHAnsi"/>
          <w:sz w:val="24"/>
          <w:szCs w:val="24"/>
        </w:rPr>
        <w:t xml:space="preserve">Mastery </w:t>
      </w:r>
      <w:r w:rsidR="000D4A5F">
        <w:rPr>
          <w:rFonts w:asciiTheme="minorHAnsi" w:hAnsiTheme="minorHAnsi" w:cstheme="minorHAnsi"/>
          <w:sz w:val="24"/>
          <w:szCs w:val="24"/>
        </w:rPr>
        <w:t xml:space="preserve"> Work</w:t>
      </w:r>
      <w:proofErr w:type="gramEnd"/>
      <w:r w:rsidR="000D4A5F">
        <w:rPr>
          <w:rFonts w:asciiTheme="minorHAnsi" w:hAnsiTheme="minorHAnsi" w:cstheme="minorHAnsi"/>
          <w:sz w:val="24"/>
          <w:szCs w:val="24"/>
        </w:rPr>
        <w:t xml:space="preserve"> Groups in future years.</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570DE8E0"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hyperlink r:id="rId11" w:history="1">
        <w:r w:rsidR="00F5387B">
          <w:rPr>
            <w:rStyle w:val="Hyperlink"/>
            <w:rFonts w:asciiTheme="minorHAnsi" w:hAnsiTheme="minorHAnsi" w:cstheme="minorHAnsi"/>
            <w:i/>
          </w:rPr>
          <w:t xml:space="preserve">admin@cambridgemathshub.org </w:t>
        </w:r>
      </w:hyperlink>
      <w:r w:rsidR="00663737">
        <w:rPr>
          <w:rFonts w:asciiTheme="minorHAnsi" w:hAnsiTheme="minorHAnsi" w:cstheme="minorHAnsi"/>
          <w:i/>
        </w:rPr>
        <w:t xml:space="preserve"> </w:t>
      </w:r>
      <w:r w:rsidR="00F5387B">
        <w:rPr>
          <w:rFonts w:asciiTheme="minorHAnsi" w:hAnsiTheme="minorHAnsi" w:cstheme="minorHAnsi"/>
          <w:i/>
        </w:rPr>
        <w:t xml:space="preserve">by </w:t>
      </w:r>
      <w:r w:rsidR="00663737">
        <w:rPr>
          <w:rFonts w:asciiTheme="minorHAnsi" w:hAnsiTheme="minorHAnsi" w:cstheme="minorHAnsi"/>
          <w:i/>
        </w:rPr>
        <w:t>6 July 2020</w:t>
      </w:r>
      <w:r w:rsidR="006217D6">
        <w:rPr>
          <w:rFonts w:asciiTheme="minorHAnsi" w:hAnsiTheme="minorHAnsi" w:cstheme="minorHAnsi"/>
          <w:i/>
        </w:rPr>
        <w:t>)</w:t>
      </w:r>
      <w:r w:rsidRPr="005966A0">
        <w:rPr>
          <w:rFonts w:asciiTheme="minorHAnsi" w:hAnsiTheme="minorHAnsi" w:cstheme="minorHAnsi"/>
          <w:i/>
        </w:rPr>
        <w:t xml:space="preserve"> </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22EBF0B1"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School role/s including teaching </w:t>
            </w:r>
            <w:r w:rsidRPr="002F22AD">
              <w:rPr>
                <w:rFonts w:asciiTheme="minorHAnsi" w:hAnsiTheme="minorHAnsi" w:cstheme="minorHAnsi"/>
                <w:sz w:val="20"/>
                <w:szCs w:val="20"/>
              </w:rPr>
              <w:t>group</w:t>
            </w:r>
            <w:r w:rsidRPr="002F22AD">
              <w:rPr>
                <w:rFonts w:asciiTheme="minorHAnsi" w:hAnsiTheme="minorHAnsi" w:cstheme="minorHAnsi"/>
              </w:rPr>
              <w:t xml:space="preserve">/s in </w:t>
            </w:r>
            <w:r w:rsidR="00517016" w:rsidRPr="002F22AD">
              <w:rPr>
                <w:rFonts w:asciiTheme="minorHAnsi" w:hAnsiTheme="minorHAnsi" w:cstheme="minorHAnsi"/>
              </w:rPr>
              <w:t>2020-2021</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DE3315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w:t>
            </w:r>
            <w:r w:rsidRPr="002F22AD">
              <w:rPr>
                <w:rFonts w:asciiTheme="minorHAnsi" w:hAnsiTheme="minorHAnsi" w:cstheme="minorHAnsi"/>
                <w:sz w:val="20"/>
                <w:szCs w:val="20"/>
              </w:rPr>
              <w:t xml:space="preserve">oup/s in </w:t>
            </w:r>
            <w:r w:rsidR="00F301CE" w:rsidRPr="002F22AD">
              <w:rPr>
                <w:rFonts w:asciiTheme="minorHAnsi" w:hAnsiTheme="minorHAnsi" w:cstheme="minorHAnsi"/>
              </w:rPr>
              <w:t>2020-2021</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5B976CED" w14:textId="084B5EFD" w:rsidR="00305C14" w:rsidRPr="00B62AFF" w:rsidRDefault="005966A0" w:rsidP="0002683C">
      <w:pPr>
        <w:pStyle w:val="ListParagraph"/>
        <w:numPr>
          <w:ilvl w:val="0"/>
          <w:numId w:val="1"/>
        </w:numPr>
        <w:rPr>
          <w:rFonts w:asciiTheme="minorHAnsi" w:hAnsiTheme="minorHAnsi" w:cstheme="minorHAnsi"/>
          <w:sz w:val="20"/>
          <w:szCs w:val="20"/>
          <w:lang w:val="en-GB"/>
        </w:rPr>
      </w:pPr>
      <w:r w:rsidRPr="00B62AFF">
        <w:rPr>
          <w:rFonts w:asciiTheme="minorHAnsi" w:hAnsiTheme="minorHAnsi" w:cstheme="minorHAnsi"/>
          <w:sz w:val="20"/>
          <w:szCs w:val="20"/>
          <w:lang w:val="en-GB"/>
        </w:rPr>
        <w:t xml:space="preserve">The school will continue to </w:t>
      </w:r>
      <w:r w:rsidR="00C9091D" w:rsidRPr="00B62AFF">
        <w:rPr>
          <w:rFonts w:asciiTheme="minorHAnsi" w:hAnsiTheme="minorHAnsi" w:cstheme="minorHAnsi"/>
          <w:sz w:val="20"/>
          <w:szCs w:val="20"/>
          <w:lang w:val="en-GB"/>
        </w:rPr>
        <w:t xml:space="preserve">collaborate </w:t>
      </w:r>
      <w:r w:rsidRPr="00B62AFF">
        <w:rPr>
          <w:rFonts w:asciiTheme="minorHAnsi" w:hAnsiTheme="minorHAnsi" w:cstheme="minorHAnsi"/>
          <w:sz w:val="20"/>
          <w:szCs w:val="20"/>
          <w:lang w:val="en-GB"/>
        </w:rPr>
        <w:t xml:space="preserve">with the </w:t>
      </w:r>
      <w:r w:rsidR="00C9091D" w:rsidRPr="00B62AFF">
        <w:rPr>
          <w:rFonts w:asciiTheme="minorHAnsi" w:hAnsiTheme="minorHAnsi" w:cstheme="minorHAnsi"/>
          <w:sz w:val="20"/>
          <w:szCs w:val="20"/>
          <w:lang w:val="en-GB"/>
        </w:rPr>
        <w:t>W</w:t>
      </w:r>
      <w:r w:rsidRPr="0002683C">
        <w:rPr>
          <w:rFonts w:asciiTheme="minorHAnsi" w:hAnsiTheme="minorHAnsi" w:cstheme="minorHAnsi"/>
          <w:sz w:val="20"/>
          <w:szCs w:val="20"/>
          <w:lang w:val="en-GB"/>
        </w:rPr>
        <w:t xml:space="preserve">ork </w:t>
      </w:r>
      <w:r w:rsidR="00C9091D" w:rsidRPr="0002683C">
        <w:rPr>
          <w:rFonts w:asciiTheme="minorHAnsi" w:hAnsiTheme="minorHAnsi" w:cstheme="minorHAnsi"/>
          <w:sz w:val="20"/>
          <w:szCs w:val="20"/>
          <w:lang w:val="en-GB"/>
        </w:rPr>
        <w:t>G</w:t>
      </w:r>
      <w:r w:rsidRPr="0002683C">
        <w:rPr>
          <w:rFonts w:asciiTheme="minorHAnsi" w:hAnsiTheme="minorHAnsi" w:cstheme="minorHAnsi"/>
          <w:sz w:val="20"/>
          <w:szCs w:val="20"/>
          <w:lang w:val="en-GB"/>
        </w:rPr>
        <w:t xml:space="preserve">roup in </w:t>
      </w:r>
      <w:r w:rsidR="00B62AFF" w:rsidRPr="00B62AFF">
        <w:rPr>
          <w:rFonts w:asciiTheme="minorHAnsi" w:hAnsiTheme="minorHAnsi" w:cstheme="minorHAnsi"/>
          <w:sz w:val="20"/>
          <w:szCs w:val="20"/>
          <w:lang w:val="en-GB"/>
        </w:rPr>
        <w:t xml:space="preserve">subsequent years through the Embedding and Sustaining programmes. </w:t>
      </w:r>
      <w:r w:rsidR="00BB1712" w:rsidRPr="0002683C">
        <w:rPr>
          <w:rFonts w:asciiTheme="minorHAnsi" w:hAnsiTheme="minorHAnsi" w:cstheme="minorHAnsi"/>
          <w:sz w:val="20"/>
          <w:szCs w:val="20"/>
          <w:lang w:val="en-GB"/>
        </w:rPr>
        <w:t xml:space="preserve"> </w:t>
      </w:r>
    </w:p>
    <w:p w14:paraId="70EBF685" w14:textId="275D4494" w:rsidR="00BB1712" w:rsidRDefault="00BB1712" w:rsidP="003C7690">
      <w:pPr>
        <w:pStyle w:val="ListParagraph"/>
        <w:rPr>
          <w:rFonts w:asciiTheme="minorHAnsi" w:hAnsiTheme="minorHAnsi" w:cstheme="minorHAnsi"/>
          <w:sz w:val="20"/>
          <w:szCs w:val="20"/>
          <w:lang w:val="en-GB"/>
        </w:rPr>
      </w:pPr>
    </w:p>
    <w:p w14:paraId="401CA9C6" w14:textId="26A9D9C3" w:rsidR="00BB1712" w:rsidRDefault="00BB1712" w:rsidP="003C7690">
      <w:pPr>
        <w:pStyle w:val="ListParagraph"/>
        <w:rPr>
          <w:rFonts w:asciiTheme="minorHAnsi" w:hAnsiTheme="minorHAnsi" w:cstheme="minorHAnsi"/>
          <w:sz w:val="20"/>
          <w:szCs w:val="20"/>
          <w:lang w:val="en-GB"/>
        </w:rPr>
      </w:pPr>
    </w:p>
    <w:p w14:paraId="5D13D698" w14:textId="5D1C6D5E" w:rsidR="00BB1712" w:rsidRDefault="00BB1712" w:rsidP="003C7690">
      <w:pPr>
        <w:pStyle w:val="ListParagraph"/>
        <w:rPr>
          <w:rFonts w:asciiTheme="minorHAnsi" w:hAnsiTheme="minorHAnsi" w:cstheme="minorHAnsi"/>
          <w:sz w:val="20"/>
          <w:szCs w:val="20"/>
          <w:lang w:val="en-GB"/>
        </w:rPr>
      </w:pPr>
    </w:p>
    <w:p w14:paraId="269C9B6C" w14:textId="610343C4" w:rsidR="00BB1712" w:rsidRDefault="00BB1712" w:rsidP="003C7690">
      <w:pPr>
        <w:pStyle w:val="ListParagraph"/>
        <w:rPr>
          <w:rFonts w:asciiTheme="minorHAnsi" w:hAnsiTheme="minorHAnsi" w:cstheme="minorHAnsi"/>
          <w:sz w:val="20"/>
          <w:szCs w:val="20"/>
          <w:lang w:val="en-GB"/>
        </w:rPr>
      </w:pPr>
    </w:p>
    <w:p w14:paraId="554BA59F" w14:textId="77777777" w:rsidR="00BB1712" w:rsidRPr="005966A0" w:rsidRDefault="00BB1712"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6C11E841" w:rsid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0608054C" w14:textId="7CBFD580" w:rsidR="005322C0" w:rsidRDefault="005322C0" w:rsidP="005966A0">
      <w:pPr>
        <w:rPr>
          <w:rFonts w:asciiTheme="minorHAnsi" w:hAnsiTheme="minorHAnsi" w:cstheme="minorHAnsi"/>
          <w:i/>
        </w:rPr>
      </w:pPr>
    </w:p>
    <w:p w14:paraId="44D47568" w14:textId="77777777" w:rsidR="00B13B73" w:rsidRDefault="00B13B73" w:rsidP="00B13B73">
      <w:pPr>
        <w:spacing w:before="240" w:line="264" w:lineRule="auto"/>
      </w:pPr>
      <w:r>
        <w:rPr>
          <w:rFonts w:cs="Arial"/>
          <w:color w:val="333333"/>
          <w:sz w:val="22"/>
          <w:szCs w:val="22"/>
        </w:rPr>
        <w:t xml:space="preserve">Please note (May 2020): The Cambridge Maths Hub does not intend to hold any face to face meetings before October half term 2020 due to </w:t>
      </w:r>
      <w:proofErr w:type="spellStart"/>
      <w:r>
        <w:rPr>
          <w:rFonts w:cs="Arial"/>
          <w:color w:val="333333"/>
          <w:sz w:val="22"/>
          <w:szCs w:val="22"/>
        </w:rPr>
        <w:t>covid</w:t>
      </w:r>
      <w:proofErr w:type="spellEnd"/>
      <w:r>
        <w:rPr>
          <w:rFonts w:cs="Arial"/>
          <w:color w:val="333333"/>
          <w:sz w:val="22"/>
          <w:szCs w:val="22"/>
        </w:rPr>
        <w:t xml:space="preserve"> 19 and the risk of one school infecting another. Some flexibility with dates will therefore be necessary. We plan to have 6 face to face Work Groups but they may not all be possible. Funding will remain the same.</w:t>
      </w:r>
    </w:p>
    <w:p w14:paraId="666E85BC" w14:textId="77777777" w:rsidR="005322C0" w:rsidRPr="0002683C" w:rsidRDefault="005322C0" w:rsidP="005966A0">
      <w:pPr>
        <w:rPr>
          <w:rFonts w:asciiTheme="minorHAnsi" w:hAnsiTheme="minorHAnsi" w:cstheme="minorHAnsi"/>
          <w:iCs/>
        </w:rPr>
      </w:pP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7E4A96">
      <w:headerReference w:type="even" r:id="rId15"/>
      <w:headerReference w:type="default" r:id="rId16"/>
      <w:headerReference w:type="first" r:id="rId17"/>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5365" w14:textId="77777777" w:rsidR="00A17BA5" w:rsidRDefault="00A17BA5">
      <w:r>
        <w:separator/>
      </w:r>
    </w:p>
  </w:endnote>
  <w:endnote w:type="continuationSeparator" w:id="0">
    <w:p w14:paraId="68866FC4" w14:textId="77777777" w:rsidR="00A17BA5" w:rsidRDefault="00A1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A1EE" w14:textId="77777777" w:rsidR="00A17BA5" w:rsidRDefault="00A17BA5">
      <w:r>
        <w:separator/>
      </w:r>
    </w:p>
  </w:footnote>
  <w:footnote w:type="continuationSeparator" w:id="0">
    <w:p w14:paraId="2AD8C721" w14:textId="77777777" w:rsidR="00A17BA5" w:rsidRDefault="00A1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2C52" w14:textId="07B5AD61" w:rsidR="004F7B22" w:rsidRDefault="00C91C3A">
    <w:pPr>
      <w:pStyle w:val="Header"/>
    </w:pPr>
    <w:r>
      <w:rPr>
        <w:noProof/>
      </w:rPr>
      <w:pict w14:anchorId="5FC92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4" o:spid="_x0000_s2050" type="#_x0000_t75" style="position:absolute;margin-left:0;margin-top:0;width:523.2pt;height:523.2pt;z-index:-251656704;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C2A2" w14:textId="06BABE1B" w:rsidR="007E4A96" w:rsidRDefault="004F7B22" w:rsidP="00077CB3">
    <w:pPr>
      <w:pStyle w:val="Header"/>
      <w:ind w:left="-142"/>
    </w:pPr>
    <w:r>
      <w:rPr>
        <w:noProof/>
      </w:rPr>
      <w:drawing>
        <wp:anchor distT="0" distB="0" distL="114300" distR="114300" simplePos="0" relativeHeight="251657728" behindDoc="1" locked="0" layoutInCell="1" allowOverlap="0" wp14:anchorId="2CD0AF02" wp14:editId="3ADF99F1">
          <wp:simplePos x="0" y="0"/>
          <wp:positionH relativeFrom="page">
            <wp:posOffset>6033052</wp:posOffset>
          </wp:positionH>
          <wp:positionV relativeFrom="page">
            <wp:posOffset>109330</wp:posOffset>
          </wp:positionV>
          <wp:extent cx="1315597" cy="882157"/>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328367" cy="890720"/>
                  </a:xfrm>
                  <a:prstGeom prst="rect">
                    <a:avLst/>
                  </a:prstGeom>
                  <a:noFill/>
                </pic:spPr>
              </pic:pic>
            </a:graphicData>
          </a:graphic>
          <wp14:sizeRelH relativeFrom="page">
            <wp14:pctWidth>0</wp14:pctWidth>
          </wp14:sizeRelH>
          <wp14:sizeRelV relativeFrom="page">
            <wp14:pctHeight>0</wp14:pctHeight>
          </wp14:sizeRelV>
        </wp:anchor>
      </w:drawing>
    </w:r>
    <w:r w:rsidR="00C91C3A">
      <w:rPr>
        <w:noProof/>
      </w:rPr>
      <w:pict w14:anchorId="0CB1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5" o:spid="_x0000_s2051" type="#_x0000_t75" style="position:absolute;left:0;text-align:left;margin-left:0;margin-top:0;width:523.2pt;height:523.2pt;z-index:-251655680;mso-position-horizontal:center;mso-position-horizontal-relative:margin;mso-position-vertical:center;mso-position-vertical-relative:margin" o:allowincell="f">
          <v:imagedata r:id="rId2" o:title="cmh logo inspiring teachers1 square" gain="19661f" blacklevel="22938f"/>
          <w10:wrap anchorx="margin" anchory="margin"/>
        </v:shape>
      </w:pict>
    </w:r>
    <w:r w:rsidR="00D738C0">
      <w:rPr>
        <w:noProof/>
      </w:rPr>
      <w:drawing>
        <wp:inline distT="0" distB="0" distL="0" distR="0" wp14:anchorId="451BCF06" wp14:editId="68475583">
          <wp:extent cx="1063487" cy="441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logo_Cambridge resized.jpg"/>
                  <pic:cNvPicPr/>
                </pic:nvPicPr>
                <pic:blipFill>
                  <a:blip r:embed="rId3">
                    <a:extLst>
                      <a:ext uri="{28A0092B-C50C-407E-A947-70E740481C1C}">
                        <a14:useLocalDpi xmlns:a14="http://schemas.microsoft.com/office/drawing/2010/main" val="0"/>
                      </a:ext>
                    </a:extLst>
                  </a:blip>
                  <a:stretch>
                    <a:fillRect/>
                  </a:stretch>
                </pic:blipFill>
                <pic:spPr>
                  <a:xfrm>
                    <a:off x="0" y="0"/>
                    <a:ext cx="1077086" cy="4468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3787" w14:textId="12327954" w:rsidR="004F7B22" w:rsidRDefault="00C91C3A">
    <w:pPr>
      <w:pStyle w:val="Header"/>
    </w:pPr>
    <w:r>
      <w:rPr>
        <w:noProof/>
      </w:rPr>
      <w:pict w14:anchorId="35653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3" o:spid="_x0000_s2049" type="#_x0000_t75" style="position:absolute;margin-left:0;margin-top:0;width:523.2pt;height:523.2pt;z-index:-251657728;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3C"/>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1AF6"/>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A5F"/>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3F"/>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15B"/>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EE0"/>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92E"/>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2AD"/>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573"/>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1AF"/>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B22"/>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016"/>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2C0"/>
    <w:rsid w:val="0053242A"/>
    <w:rsid w:val="0053251C"/>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05AF"/>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302"/>
    <w:rsid w:val="005F044B"/>
    <w:rsid w:val="005F106A"/>
    <w:rsid w:val="005F1201"/>
    <w:rsid w:val="005F1FE7"/>
    <w:rsid w:val="005F225B"/>
    <w:rsid w:val="005F23CE"/>
    <w:rsid w:val="005F24B8"/>
    <w:rsid w:val="005F287E"/>
    <w:rsid w:val="005F2954"/>
    <w:rsid w:val="005F29F7"/>
    <w:rsid w:val="005F2CAF"/>
    <w:rsid w:val="005F2CDC"/>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7D6"/>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25F"/>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737"/>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3849"/>
    <w:rsid w:val="0072391B"/>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A96"/>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0A"/>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27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2B99"/>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BE1"/>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34A"/>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BA5"/>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18A"/>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41D"/>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3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B73"/>
    <w:rsid w:val="00B13F10"/>
    <w:rsid w:val="00B13F57"/>
    <w:rsid w:val="00B14487"/>
    <w:rsid w:val="00B14BD8"/>
    <w:rsid w:val="00B14E06"/>
    <w:rsid w:val="00B15B1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1E67"/>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2AFF"/>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997"/>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12"/>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8A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C3A"/>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03"/>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8C0"/>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C7EB1"/>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BB3"/>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3B1"/>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1CE"/>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87B"/>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77712"/>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5ADE"/>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styleId="UnresolvedMention">
    <w:name w:val="Unresolved Mention"/>
    <w:basedOn w:val="DefaultParagraphFont"/>
    <w:uiPriority w:val="99"/>
    <w:semiHidden/>
    <w:unhideWhenUsed/>
    <w:rsid w:val="0066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20b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Geetha Dorairaj</cp:lastModifiedBy>
  <cp:revision>2</cp:revision>
  <dcterms:created xsi:type="dcterms:W3CDTF">2020-05-26T15:56:00Z</dcterms:created>
  <dcterms:modified xsi:type="dcterms:W3CDTF">2020-05-26T15:56:00Z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